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7B" w:rsidRPr="000D2668" w:rsidRDefault="00DB097B" w:rsidP="000D2668">
      <w:pPr>
        <w:spacing w:after="120" w:line="240" w:lineRule="auto"/>
        <w:rPr>
          <w:b/>
          <w:noProof/>
          <w:sz w:val="16"/>
          <w:szCs w:val="16"/>
          <w:lang w:eastAsia="de-DE"/>
        </w:rPr>
      </w:pP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880"/>
        <w:gridCol w:w="1385"/>
        <w:gridCol w:w="3718"/>
        <w:gridCol w:w="408"/>
      </w:tblGrid>
      <w:tr w:rsidR="007D717B" w:rsidRPr="00F478F3" w:rsidTr="0067790A">
        <w:trPr>
          <w:gridAfter w:val="1"/>
          <w:wAfter w:w="408" w:type="dxa"/>
          <w:trHeight w:val="71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7D717B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Name: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7D717B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Telefonnr.:</w:t>
            </w:r>
          </w:p>
        </w:tc>
      </w:tr>
      <w:tr w:rsidR="007D717B" w:rsidRPr="00F478F3" w:rsidTr="0067790A">
        <w:trPr>
          <w:gridAfter w:val="1"/>
          <w:wAfter w:w="408" w:type="dxa"/>
          <w:trHeight w:val="98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010975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Gemeinde</w:t>
            </w:r>
            <w:r w:rsidR="001D6475" w:rsidRPr="00EA218D">
              <w:rPr>
                <w:rFonts w:eastAsia="Times New Roman" w:cs="Times New Roman"/>
                <w:b/>
                <w:bCs/>
                <w:lang w:eastAsia="de-DE"/>
              </w:rPr>
              <w:t xml:space="preserve"> (+Adresse)</w:t>
            </w:r>
            <w:r w:rsidR="007D717B" w:rsidRPr="00EA218D">
              <w:rPr>
                <w:rFonts w:eastAsia="Times New Roman" w:cs="Times New Roman"/>
                <w:b/>
                <w:bCs/>
                <w:lang w:eastAsia="de-DE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D717B" w:rsidRPr="00EA218D" w:rsidRDefault="007D717B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EA218D">
              <w:rPr>
                <w:rFonts w:eastAsia="Times New Roman" w:cs="Times New Roman"/>
                <w:b/>
                <w:bCs/>
                <w:lang w:eastAsia="de-DE"/>
              </w:rPr>
              <w:t>Mail:</w:t>
            </w:r>
          </w:p>
        </w:tc>
      </w:tr>
      <w:tr w:rsidR="008D04BE" w:rsidRPr="00F478F3" w:rsidTr="0067790A">
        <w:trPr>
          <w:gridAfter w:val="1"/>
          <w:wAfter w:w="408" w:type="dxa"/>
          <w:trHeight w:val="376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D04BE" w:rsidRPr="00F478F3" w:rsidRDefault="00A05D85" w:rsidP="00073BD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Jungbäume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(Baumkrone ab</w:t>
            </w:r>
            <w:r w:rsidR="00EA218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ca.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1</w:t>
            </w:r>
            <w:r w:rsidR="00073BD9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20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cm)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D04BE" w:rsidRPr="008D04BE" w:rsidRDefault="00A05D85" w:rsidP="00073B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Jungbäume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(Baumkrone ab </w:t>
            </w:r>
            <w:r w:rsidR="00EA218D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ca. 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="00073BD9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20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 xml:space="preserve"> cm)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Tafeläpfel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AEAAAA" w:themeColor="background2" w:themeShade="BF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Tafelbirnen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D4221" w:rsidRPr="008D04BE" w:rsidRDefault="00FD4221" w:rsidP="00595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Kernraffler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D4221" w:rsidRPr="00F478F3" w:rsidRDefault="00FD4221" w:rsidP="001D647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Nagowitzer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Gravensteiner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Gute Luise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Lederapfel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Conference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D2668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Cox Orange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Kaiser Alexander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D2668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Schafnase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Gellerts Butterbirne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200C1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D2668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Ananas Renette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Williams Christ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Champagner Renette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3E3F3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D4221" w:rsidRPr="008D04BE" w:rsidRDefault="00FD4221" w:rsidP="003E3F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Mostbirnen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3E3F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Bohnapfel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Speckbirne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Sommerregent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Hirschbirne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Kronprinz Rudolf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Gelbmöster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67790A">
        <w:trPr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Alkmene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Subira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FD4221" w:rsidRPr="00F478F3" w:rsidTr="0067790A">
        <w:trPr>
          <w:gridAfter w:val="1"/>
          <w:wAfter w:w="408" w:type="dxa"/>
          <w:trHeight w:hRule="exact" w:val="57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Rubinette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D4221" w:rsidRPr="008D04BE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Weiteres Streuobst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D4221" w:rsidRPr="008D04BE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D04BE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="008D04BE"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Elstar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  <w:t>Weingartenpfirsich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D4221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FD4221" w:rsidRPr="00F478F3" w:rsidRDefault="00FD4221" w:rsidP="007C612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Florina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D4221" w:rsidRPr="00F478F3" w:rsidRDefault="007C6122" w:rsidP="007C612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  <w:t xml:space="preserve">Eberesche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21" w:rsidRPr="00F478F3" w:rsidRDefault="00FD4221" w:rsidP="00FD422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7790A" w:rsidRPr="00F478F3" w:rsidTr="0067790A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Weißer Klar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67790A" w:rsidRDefault="0067790A" w:rsidP="0067790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  <w:t>Kirsche Regina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7790A" w:rsidRPr="00F478F3" w:rsidTr="00B12664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Krummstiel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67790A" w:rsidRDefault="0067790A" w:rsidP="0067790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de-DE"/>
              </w:rPr>
              <w:t>Hauszwetschke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7790A" w:rsidRPr="00F478F3" w:rsidTr="00B12664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Herbstkalvill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A" w:rsidRPr="0067790A" w:rsidRDefault="0067790A" w:rsidP="006779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779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WICHTIGE INFORMATIONEN:</w:t>
            </w:r>
          </w:p>
          <w:p w:rsidR="0067790A" w:rsidRPr="0067790A" w:rsidRDefault="0067790A" w:rsidP="006779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779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de-DE"/>
              </w:rPr>
              <w:t>Bestellformular Naturpark Streuobstbäume 2019</w:t>
            </w:r>
          </w:p>
          <w:p w:rsidR="0067790A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Pro Ha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ushalt gesamt höchstens 10 Bäume</w:t>
            </w:r>
          </w:p>
          <w:p w:rsidR="0067790A" w:rsidRPr="00385070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Preis pro Jungbaum: 14</w:t>
            </w: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Euro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(Baumkrone ab ca. 120cm)</w:t>
            </w:r>
          </w:p>
          <w:p w:rsidR="0067790A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Nur für Haushalte der 15 Naturparkgemeinden</w:t>
            </w:r>
          </w:p>
          <w:p w:rsidR="0067790A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Ausgabe 16. März 2019</w:t>
            </w:r>
            <w:r w:rsidRPr="00B330B7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im Naturparkzentrum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330B7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Grottenhof/Leibnitz</w:t>
            </w:r>
          </w:p>
          <w:p w:rsidR="0067790A" w:rsidRPr="00385070" w:rsidRDefault="0067790A" w:rsidP="0067790A">
            <w:pPr>
              <w:shd w:val="clear" w:color="auto" w:fill="92D05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regionale Besonderheit</w:t>
            </w:r>
          </w:p>
          <w:p w:rsidR="0067790A" w:rsidRPr="00385070" w:rsidRDefault="0067790A" w:rsidP="0067790A">
            <w:pPr>
              <w:shd w:val="clear" w:color="auto" w:fill="FFFF0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00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00"/>
                <w:lang w:eastAsia="de-DE"/>
              </w:rPr>
              <w:t>regional sehr typisch</w:t>
            </w:r>
          </w:p>
          <w:p w:rsidR="0067790A" w:rsidRPr="00385070" w:rsidRDefault="0067790A" w:rsidP="0067790A">
            <w:pPr>
              <w:shd w:val="clear" w:color="auto" w:fill="F4B083" w:themeFill="accent2" w:themeFillTint="99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regional verbreitet</w:t>
            </w:r>
          </w:p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Bestellliste zw. </w:t>
            </w:r>
            <w:r w:rsidRPr="008D04BE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1</w:t>
            </w: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7</w:t>
            </w:r>
            <w:r w:rsidRPr="008D04BE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.12.201</w:t>
            </w: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8</w:t>
            </w:r>
            <w:r w:rsidRPr="008D04BE"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  <w:szCs w:val="24"/>
                <w:lang w:eastAsia="de-DE"/>
              </w:rPr>
              <w:t>bis 31.01.2019</w:t>
            </w:r>
            <w:r w:rsidRPr="00385070">
              <w:rPr>
                <w:rFonts w:eastAsia="Times New Roman" w:cs="Times New Roman"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an </w:t>
            </w:r>
            <w:hyperlink r:id="rId7" w:history="1">
              <w:r w:rsidRPr="00A7144C">
                <w:rPr>
                  <w:rStyle w:val="Hyperlink"/>
                  <w:rFonts w:eastAsia="Times New Roman" w:cs="Times New Roman"/>
                  <w:b/>
                  <w:sz w:val="18"/>
                  <w:szCs w:val="18"/>
                  <w:lang w:eastAsia="de-DE"/>
                </w:rPr>
                <w:t>h.pivec@naturpark-suedsteiermark.at</w:t>
              </w:r>
            </w:hyperlink>
            <w:r w:rsidRPr="00A7144C">
              <w:rPr>
                <w:rStyle w:val="Hyperlink"/>
                <w:rFonts w:eastAsia="Times New Roman" w:cs="Times New Roman"/>
                <w:b/>
                <w:sz w:val="18"/>
                <w:szCs w:val="18"/>
                <w:lang w:eastAsia="de-DE"/>
              </w:rPr>
              <w:t>;</w:t>
            </w:r>
            <w:r w:rsidRPr="00A7144C">
              <w:rPr>
                <w:rStyle w:val="Hyperlink"/>
                <w:rFonts w:eastAsia="Times New Roman" w:cs="Times New Roman"/>
                <w:sz w:val="18"/>
                <w:szCs w:val="18"/>
                <w:u w:val="none"/>
                <w:lang w:eastAsia="de-DE"/>
              </w:rPr>
              <w:t xml:space="preserve"> </w:t>
            </w:r>
            <w:r>
              <w:rPr>
                <w:rStyle w:val="Hyperlink"/>
                <w:rFonts w:eastAsia="Times New Roman" w:cs="Times New Roman"/>
                <w:sz w:val="18"/>
                <w:szCs w:val="18"/>
                <w:u w:val="none"/>
                <w:lang w:eastAsia="de-DE"/>
              </w:rPr>
              <w:t xml:space="preserve">   </w:t>
            </w:r>
            <w:r w:rsidRPr="00385070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Info: 03452/71305</w:t>
            </w:r>
          </w:p>
        </w:tc>
      </w:tr>
      <w:tr w:rsidR="0067790A" w:rsidRPr="00F478F3" w:rsidTr="00B12664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8D04BE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Mostäpfel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8D04BE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  <w:r w:rsidRPr="008D04BE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Stückzahl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7790A" w:rsidRPr="00F478F3" w:rsidTr="00B12664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Steirischer </w:t>
            </w: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Maschanzker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7790A" w:rsidRPr="00F478F3" w:rsidTr="00B12664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790A" w:rsidRPr="008D04BE" w:rsidRDefault="0067790A" w:rsidP="0067790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Ilzer</w:t>
            </w:r>
            <w:proofErr w:type="spellEnd"/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Rosenapfel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0A" w:rsidRPr="008D04BE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7790A" w:rsidRPr="00F478F3" w:rsidTr="00B12664">
        <w:trPr>
          <w:gridAfter w:val="1"/>
          <w:wAfter w:w="408" w:type="dxa"/>
          <w:trHeight w:hRule="exact"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Goldparmäne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7790A" w:rsidRPr="00F478F3" w:rsidTr="00B12664">
        <w:trPr>
          <w:gridAfter w:val="1"/>
          <w:wAfter w:w="408" w:type="dxa"/>
          <w:trHeight w:hRule="exact" w:val="64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478F3">
              <w:rPr>
                <w:rFonts w:eastAsia="Times New Roman" w:cs="Times New Roman"/>
                <w:sz w:val="16"/>
                <w:szCs w:val="16"/>
                <w:lang w:eastAsia="de-DE"/>
              </w:rPr>
              <w:t>Boskoop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90A" w:rsidRPr="00F478F3" w:rsidRDefault="0067790A" w:rsidP="0067790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27251" w:rsidRPr="00F478F3" w:rsidRDefault="0067790A" w:rsidP="00D9304B">
      <w:pPr>
        <w:pStyle w:val="Fuzeile"/>
        <w:rPr>
          <w:sz w:val="16"/>
          <w:szCs w:val="16"/>
        </w:rPr>
      </w:pPr>
      <w:r w:rsidRPr="0067790A">
        <w:rPr>
          <w:b/>
          <w:bCs/>
          <w:sz w:val="18"/>
          <w:szCs w:val="18"/>
        </w:rPr>
        <w:t>Information zum Datenschutz</w:t>
      </w:r>
      <w:r w:rsidR="00F84549">
        <w:rPr>
          <w:b/>
          <w:bCs/>
          <w:sz w:val="18"/>
          <w:szCs w:val="18"/>
        </w:rPr>
        <w:t>:</w:t>
      </w:r>
      <w:bookmarkStart w:id="0" w:name="_GoBack"/>
      <w:bookmarkEnd w:id="0"/>
      <w:r w:rsidRPr="0067790A">
        <w:rPr>
          <w:sz w:val="18"/>
          <w:szCs w:val="18"/>
        </w:rPr>
        <w:br/>
        <w:t>Mit der Eintragung in oben angeführter Liste erkläre ich mich einverstanden, dass alle von mir eingegebenen persönlich</w:t>
      </w:r>
      <w:r>
        <w:rPr>
          <w:sz w:val="18"/>
          <w:szCs w:val="18"/>
        </w:rPr>
        <w:t>en Daten, nämlich Name</w:t>
      </w:r>
      <w:r w:rsidRPr="0067790A">
        <w:rPr>
          <w:sz w:val="18"/>
          <w:szCs w:val="18"/>
        </w:rPr>
        <w:t>, E-Mail-Adresse, Tel. Nr.</w:t>
      </w:r>
      <w:r>
        <w:rPr>
          <w:sz w:val="18"/>
          <w:szCs w:val="18"/>
        </w:rPr>
        <w:t>, Adresse</w:t>
      </w:r>
      <w:r w:rsidRPr="0067790A">
        <w:rPr>
          <w:sz w:val="18"/>
          <w:szCs w:val="18"/>
        </w:rPr>
        <w:t xml:space="preserve"> von der Regio</w:t>
      </w:r>
      <w:r w:rsidR="00B12664">
        <w:rPr>
          <w:sz w:val="18"/>
          <w:szCs w:val="18"/>
        </w:rPr>
        <w:t xml:space="preserve">nalmanagement Südweststeiermark, </w:t>
      </w:r>
      <w:r w:rsidRPr="0067790A">
        <w:rPr>
          <w:sz w:val="18"/>
          <w:szCs w:val="18"/>
        </w:rPr>
        <w:t xml:space="preserve">Grottenhof 1, 8430 Leibnitz  zum Zwecke der Information über und Nachbereitung </w:t>
      </w:r>
      <w:r>
        <w:rPr>
          <w:sz w:val="18"/>
          <w:szCs w:val="18"/>
        </w:rPr>
        <w:t xml:space="preserve">dieser </w:t>
      </w:r>
      <w:r w:rsidRPr="0067790A">
        <w:rPr>
          <w:sz w:val="18"/>
          <w:szCs w:val="18"/>
        </w:rPr>
        <w:t xml:space="preserve">Veranstaltungen verarbeitet werden. Diese Zustimmung kann ich jederzeit mittels Brief an die Regionalmanagement Südweststeiermark GmbH, Grottenhof 1, 8430  Leibnitz  oder per E-Mail an </w:t>
      </w:r>
      <w:hyperlink r:id="rId8" w:history="1">
        <w:r w:rsidR="00B12664" w:rsidRPr="009D14E9">
          <w:rPr>
            <w:rStyle w:val="Hyperlink"/>
            <w:sz w:val="18"/>
            <w:szCs w:val="18"/>
          </w:rPr>
          <w:t>office@naturpark-suedsteiermark.at</w:t>
        </w:r>
      </w:hyperlink>
      <w:r w:rsidRPr="0067790A">
        <w:rPr>
          <w:sz w:val="18"/>
          <w:szCs w:val="18"/>
        </w:rPr>
        <w:t xml:space="preserve"> widerrufen.</w:t>
      </w:r>
    </w:p>
    <w:sectPr w:rsidR="00127251" w:rsidRPr="00F478F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C9" w:rsidRDefault="00B553C9" w:rsidP="007D717B">
      <w:pPr>
        <w:spacing w:after="0" w:line="240" w:lineRule="auto"/>
      </w:pPr>
      <w:r>
        <w:separator/>
      </w:r>
    </w:p>
  </w:endnote>
  <w:endnote w:type="continuationSeparator" w:id="0">
    <w:p w:rsidR="00B553C9" w:rsidRDefault="00B553C9" w:rsidP="007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7B" w:rsidRDefault="007D717B" w:rsidP="005C4F76">
    <w:pPr>
      <w:pStyle w:val="Fuzeile"/>
      <w:jc w:val="center"/>
    </w:pPr>
    <w:r w:rsidRPr="007D717B">
      <w:rPr>
        <w:noProof/>
        <w:lang w:eastAsia="de-DE"/>
      </w:rPr>
      <w:drawing>
        <wp:inline distT="0" distB="0" distL="0" distR="0" wp14:anchorId="14AE9AD4" wp14:editId="097661A7">
          <wp:extent cx="4572000" cy="889422"/>
          <wp:effectExtent l="0" t="0" r="0" b="6350"/>
          <wp:docPr id="1" name="Grafik 1" descr="L:\NP - GmbH\NP_Öffentlichkeitsarbeit\Logo\Land STmk 13\ELER-LOGOLE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P - GmbH\NP_Öffentlichkeitsarbeit\Logo\Land STmk 13\ELER-LOGOLEIS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850" cy="9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C9" w:rsidRDefault="00B553C9" w:rsidP="007D717B">
      <w:pPr>
        <w:spacing w:after="0" w:line="240" w:lineRule="auto"/>
      </w:pPr>
      <w:r>
        <w:separator/>
      </w:r>
    </w:p>
  </w:footnote>
  <w:footnote w:type="continuationSeparator" w:id="0">
    <w:p w:rsidR="00B553C9" w:rsidRDefault="00B553C9" w:rsidP="007D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7B" w:rsidRDefault="00A05D85" w:rsidP="00A05D85">
    <w:pPr>
      <w:pStyle w:val="Kopfzeile"/>
      <w:jc w:val="center"/>
    </w:pPr>
    <w:r w:rsidRPr="00A05D85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3" name="Grafik 3" descr="L:\NP - GmbH\##Admin##\PROJEKTE_aktuell\ELER_Biotop Streuobst_2016\Projektarbeit\Setzlinge\2016\Logo_Streuobst schüt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P - GmbH\##Admin##\PROJEKTE_aktuell\ELER_Biotop Streuobst_2016\Projektarbeit\Setzlinge\2016\Logo_Streuobst schütz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17B" w:rsidRPr="007D717B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5227320</wp:posOffset>
          </wp:positionH>
          <wp:positionV relativeFrom="paragraph">
            <wp:posOffset>-264160</wp:posOffset>
          </wp:positionV>
          <wp:extent cx="795020" cy="995045"/>
          <wp:effectExtent l="0" t="0" r="5080" b="0"/>
          <wp:wrapTight wrapText="bothSides">
            <wp:wrapPolygon edited="0">
              <wp:start x="9316" y="0"/>
              <wp:lineTo x="1553" y="3722"/>
              <wp:lineTo x="0" y="4962"/>
              <wp:lineTo x="0" y="11579"/>
              <wp:lineTo x="2070" y="13233"/>
              <wp:lineTo x="0" y="18609"/>
              <wp:lineTo x="0" y="20263"/>
              <wp:lineTo x="9316" y="21090"/>
              <wp:lineTo x="12939" y="21090"/>
              <wp:lineTo x="21220" y="20263"/>
              <wp:lineTo x="21220" y="18195"/>
              <wp:lineTo x="18633" y="13233"/>
              <wp:lineTo x="20703" y="12406"/>
              <wp:lineTo x="21220" y="4549"/>
              <wp:lineTo x="19150" y="3308"/>
              <wp:lineTo x="11904" y="0"/>
              <wp:lineTo x="9316" y="0"/>
            </wp:wrapPolygon>
          </wp:wrapTight>
          <wp:docPr id="2" name="Grafik 2" descr="L:\NP - GmbH\NP_Öffentlichkeitsarbeit\Logo\Naturpark\NP Logo 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NP - GmbH\NP_Öffentlichkeitsarbeit\Logo\Naturpark\NP Logo trans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Projekt: Biotop Streuobstwiese: Biodiversitätserhalt = Kulturlandschaftsschutz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6071"/>
    <w:multiLevelType w:val="hybridMultilevel"/>
    <w:tmpl w:val="D9204C8A"/>
    <w:lvl w:ilvl="0" w:tplc="E2CEA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32"/>
    <w:rsid w:val="00010975"/>
    <w:rsid w:val="0003452D"/>
    <w:rsid w:val="00045B30"/>
    <w:rsid w:val="00045F71"/>
    <w:rsid w:val="00071559"/>
    <w:rsid w:val="00073BD9"/>
    <w:rsid w:val="000A7A35"/>
    <w:rsid w:val="000D2668"/>
    <w:rsid w:val="00113F70"/>
    <w:rsid w:val="00121AED"/>
    <w:rsid w:val="00144BDD"/>
    <w:rsid w:val="001D532D"/>
    <w:rsid w:val="001D6475"/>
    <w:rsid w:val="001F7CC1"/>
    <w:rsid w:val="00200C16"/>
    <w:rsid w:val="00216D05"/>
    <w:rsid w:val="002D6BD1"/>
    <w:rsid w:val="002F6732"/>
    <w:rsid w:val="00360725"/>
    <w:rsid w:val="00385070"/>
    <w:rsid w:val="003E3F37"/>
    <w:rsid w:val="00477D18"/>
    <w:rsid w:val="005C4F76"/>
    <w:rsid w:val="005F3F76"/>
    <w:rsid w:val="0067790A"/>
    <w:rsid w:val="00751C36"/>
    <w:rsid w:val="007B2E41"/>
    <w:rsid w:val="007C1E2E"/>
    <w:rsid w:val="007C6122"/>
    <w:rsid w:val="007D717B"/>
    <w:rsid w:val="00822FE8"/>
    <w:rsid w:val="00835D59"/>
    <w:rsid w:val="00847569"/>
    <w:rsid w:val="008C64D6"/>
    <w:rsid w:val="008D04BE"/>
    <w:rsid w:val="0099731F"/>
    <w:rsid w:val="009D05AD"/>
    <w:rsid w:val="009F004B"/>
    <w:rsid w:val="00A05D85"/>
    <w:rsid w:val="00A3649A"/>
    <w:rsid w:val="00A651E8"/>
    <w:rsid w:val="00A7144C"/>
    <w:rsid w:val="00AA1EBD"/>
    <w:rsid w:val="00B00E88"/>
    <w:rsid w:val="00B12664"/>
    <w:rsid w:val="00B330B7"/>
    <w:rsid w:val="00B513BD"/>
    <w:rsid w:val="00B553C9"/>
    <w:rsid w:val="00C134E3"/>
    <w:rsid w:val="00C36035"/>
    <w:rsid w:val="00CF2D1E"/>
    <w:rsid w:val="00D53867"/>
    <w:rsid w:val="00D9304B"/>
    <w:rsid w:val="00DB097B"/>
    <w:rsid w:val="00EA218D"/>
    <w:rsid w:val="00EC7483"/>
    <w:rsid w:val="00F11792"/>
    <w:rsid w:val="00F42163"/>
    <w:rsid w:val="00F478F3"/>
    <w:rsid w:val="00F50B9B"/>
    <w:rsid w:val="00F84549"/>
    <w:rsid w:val="00FB7612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36D9A3D-54F2-4145-8E80-4DE25CF8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17B"/>
  </w:style>
  <w:style w:type="paragraph" w:styleId="Fuzeile">
    <w:name w:val="footer"/>
    <w:basedOn w:val="Standard"/>
    <w:link w:val="FuzeileZchn"/>
    <w:uiPriority w:val="99"/>
    <w:unhideWhenUsed/>
    <w:rsid w:val="007D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17B"/>
  </w:style>
  <w:style w:type="paragraph" w:styleId="Listenabsatz">
    <w:name w:val="List Paragraph"/>
    <w:basedOn w:val="Standard"/>
    <w:uiPriority w:val="34"/>
    <w:qFormat/>
    <w:rsid w:val="005C4F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BD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45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aturpark-suedsteiermark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pivec@naturpark-suedsteiermark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Rode</dc:creator>
  <cp:keywords/>
  <dc:description/>
  <cp:lastModifiedBy>Matthias Rode</cp:lastModifiedBy>
  <cp:revision>19</cp:revision>
  <cp:lastPrinted>2018-11-09T07:29:00Z</cp:lastPrinted>
  <dcterms:created xsi:type="dcterms:W3CDTF">2017-11-13T13:32:00Z</dcterms:created>
  <dcterms:modified xsi:type="dcterms:W3CDTF">2018-11-09T07:45:00Z</dcterms:modified>
</cp:coreProperties>
</file>